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оценки эффективности предоставляемых налоговых льгот по местным налогам на территории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Краснооктябрьское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709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Краснооктябрьское (сельское поселение) Гусь-Хрустального района Владимирской области от 06.10.2014 №20 (ред. от 22.06.2018) 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Краснооктябрьское (сельское поселение) в отношении местных налогов  приняты следующие нормативные правовые акты:</w:t>
      </w:r>
    </w:p>
    <w:p>
      <w:pPr>
        <w:pStyle w:val="Style19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27.10.2014 №41 (ред. от 28.09.2018) «Об установлении налога на имущество физических лиц на территории муниципального образования Краснооктябрьское (сельское поселение) Гусь - Хрустального района Владимирской области»,</w:t>
      </w:r>
    </w:p>
    <w:p>
      <w:pPr>
        <w:pStyle w:val="Style19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 от 29.10.2010 №46 (ред. от 28.09.2018)  «Об установлении земельного налога на территории муниципального образования Краснооктябрьское (сельское поселение) Гусь - Хрустального района Владимирской области».</w:t>
      </w:r>
      <w:r>
        <w:rPr>
          <w:color w:val="000000"/>
        </w:rPr>
        <w:t xml:space="preserve"> </w:t>
        <w:tab/>
      </w:r>
    </w:p>
    <w:p>
      <w:pPr>
        <w:pStyle w:val="Style19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января 2015 года на территории муниципального образования Краснооктябрьское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предоставляемых налоговых льгот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before="0" w:after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4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Краснооктябрьское (сельское поселение) составили 169,3 тыс. рублей, что соответствует 10,9%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4"/>
        <w:spacing w:before="0" w:after="0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/>
        <w:t>Реестр предоставленных налоговых льгот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72"/>
        <w:gridCol w:w="2215"/>
        <w:gridCol w:w="1276"/>
        <w:gridCol w:w="1134"/>
        <w:gridCol w:w="1276"/>
        <w:gridCol w:w="1994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Вид разрешенного использования земельных участков/ категория получателей льгот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Решение СНД от 29.03.2011 №67 «О внесении изменений и дополнения в решение Совета народных депутатов от 29.10.2010 №46 (ред. от 22.11.2010) «Об установлении земельного налога на территории муниципального образования Краснооктябрьское (сельское поселение) Гусь – Хрустального района Владимирской области»</w:t>
            </w:r>
            <w:r>
              <w:rPr>
                <w:color w:val="000000"/>
              </w:rPr>
              <w:t xml:space="preserve"> </w:t>
            </w:r>
          </w:p>
        </w:tc>
      </w:tr>
    </w:tbl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4"/>
        <w:numPr>
          <w:ilvl w:val="0"/>
          <w:numId w:val="1"/>
        </w:numPr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Определение объемов недополученных (выпадающих) доходов</w:t>
      </w:r>
    </w:p>
    <w:p>
      <w:pPr>
        <w:pStyle w:val="Style24"/>
        <w:spacing w:before="0" w:after="0"/>
        <w:ind w:left="1070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бюджета муниципального образования (сельского поселения), обусловленных предоставлением налоговых льгот</w:t>
      </w:r>
    </w:p>
    <w:p>
      <w:pPr>
        <w:pStyle w:val="Style24"/>
        <w:spacing w:before="0" w:after="0"/>
        <w:ind w:left="1070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по земельному налогу в 2019 году в бюджет МО Краснооктябрьское (сельское поселение) составили 664,0 тыс. рублей, что соответствует 42,6% от общего объема налоговых доходов.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bookmarkStart w:id="0" w:name="_1643700560"/>
      <w:bookmarkStart w:id="1" w:name="_1612178514"/>
      <w:bookmarkStart w:id="2" w:name="_1580800119"/>
      <w:bookmarkStart w:id="3" w:name="_1580800083"/>
      <w:bookmarkStart w:id="4" w:name="_1491726263"/>
      <w:bookmarkStart w:id="5" w:name="_1462185527"/>
      <w:bookmarkStart w:id="6" w:name="_1462185512"/>
      <w:bookmarkStart w:id="7" w:name="_1462185429"/>
      <w:bookmarkStart w:id="8" w:name="_1462085493"/>
      <w:bookmarkStart w:id="9" w:name="_1461742749"/>
      <w:bookmarkStart w:id="10" w:name="_1461673571"/>
      <w:bookmarkStart w:id="11" w:name="_1461673299"/>
      <w:bookmarkStart w:id="12" w:name="_1461673266"/>
      <w:bookmarkStart w:id="13" w:name="_1461673190"/>
      <w:bookmarkStart w:id="14" w:name="_1461671625"/>
      <w:bookmarkStart w:id="15" w:name="_1461671322"/>
      <w:bookmarkStart w:id="16" w:name="_1461665173"/>
      <w:bookmarkStart w:id="17" w:name="_1461665150"/>
      <w:bookmarkStart w:id="18" w:name="_1461665138"/>
      <w:bookmarkStart w:id="19" w:name="_1461664593"/>
      <w:bookmarkStart w:id="20" w:name="_1461496718"/>
      <w:bookmarkStart w:id="21" w:name="_1461496672"/>
      <w:bookmarkStart w:id="22" w:name="_1461496585"/>
      <w:bookmarkStart w:id="23" w:name="_1461496534"/>
      <w:bookmarkStart w:id="24" w:name="_1461496485"/>
      <w:bookmarkStart w:id="25" w:name="_1461495800"/>
      <w:bookmarkStart w:id="26" w:name="_1461495698"/>
      <w:bookmarkStart w:id="27" w:name="_1457864227"/>
      <w:bookmarkStart w:id="28" w:name="_1457864183"/>
      <w:bookmarkStart w:id="29" w:name="_1457769983"/>
      <w:bookmarkStart w:id="30" w:name="_1457769656"/>
      <w:bookmarkStart w:id="31" w:name="_1457769378"/>
      <w:bookmarkStart w:id="32" w:name="_1457769362"/>
      <w:bookmarkStart w:id="33" w:name="_1457769357"/>
      <w:bookmarkStart w:id="34" w:name="_1457769347"/>
      <w:bookmarkStart w:id="35" w:name="_1457769338"/>
      <w:bookmarkStart w:id="36" w:name="_1457769065"/>
      <w:bookmarkStart w:id="37" w:name="_1457769026"/>
      <w:bookmarkStart w:id="38" w:name="_1457769008"/>
      <w:bookmarkStart w:id="39" w:name="_1457768853"/>
      <w:bookmarkStart w:id="40" w:name="_1457768800"/>
      <w:bookmarkStart w:id="41" w:name="_1457768759"/>
      <w:bookmarkStart w:id="42" w:name="_1457768746"/>
      <w:bookmarkStart w:id="43" w:name="_1457768716"/>
      <w:bookmarkStart w:id="44" w:name="_1457768610"/>
      <w:bookmarkStart w:id="45" w:name="_1457768552"/>
      <w:bookmarkStart w:id="46" w:name="_1455024432"/>
      <w:bookmarkStart w:id="47" w:name="_1455024400"/>
      <w:bookmarkStart w:id="48" w:name="_1455024244"/>
      <w:bookmarkStart w:id="49" w:name="_1455024125"/>
      <w:bookmarkStart w:id="50" w:name="_1454912685"/>
      <w:bookmarkStart w:id="51" w:name="_1454912540"/>
      <w:bookmarkStart w:id="52" w:name="_1454851298"/>
      <w:bookmarkStart w:id="53" w:name="_1454850416"/>
      <w:bookmarkStart w:id="54" w:name="_1454850385"/>
      <w:bookmarkStart w:id="55" w:name="_1454850366"/>
      <w:bookmarkStart w:id="56" w:name="_1454850291"/>
      <w:bookmarkStart w:id="57" w:name="_1454850161"/>
      <w:bookmarkStart w:id="58" w:name="_1454850066"/>
      <w:bookmarkStart w:id="59" w:name="_1454850047"/>
      <w:bookmarkStart w:id="60" w:name="_1454850014"/>
      <w:bookmarkStart w:id="61" w:name="_1454849964"/>
      <w:bookmarkStart w:id="62" w:name="_1454849954"/>
      <w:bookmarkStart w:id="63" w:name="_1454849927"/>
      <w:bookmarkStart w:id="64" w:name="_1454849880"/>
      <w:bookmarkStart w:id="65" w:name="_1454849867"/>
      <w:bookmarkStart w:id="66" w:name="_1454849810"/>
      <w:bookmarkStart w:id="67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/>
        <w:object w:dxaOrig="10500" w:dyaOrig="3044">
          <v:shape id="ole_rId2" style="width:482.25pt;height:130.85pt" o:ole="">
            <v:imagedata r:id="rId3" o:title=""/>
          </v:shape>
          <o:OLEObject Type="Embed" ProgID="" ShapeID="ole_rId2" DrawAspect="Content" ObjectID="_840192935" r:id="rId2"/>
        </w:object>
      </w:r>
    </w:p>
    <w:p>
      <w:pPr>
        <w:pStyle w:val="Normal"/>
        <w:spacing w:lineRule="auto" w:line="276" w:before="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 в связи с предоставлением налоговых льгот, составила 1,8 тыс. рублей.</w:t>
      </w:r>
    </w:p>
    <w:p>
      <w:pPr>
        <w:pStyle w:val="Style24"/>
        <w:spacing w:before="0" w:after="0"/>
        <w:ind w:left="710" w:hanging="0"/>
        <w:jc w:val="center"/>
        <w:rPr/>
      </w:pPr>
      <w:r>
        <w:rPr>
          <w:b/>
          <w:i/>
          <w:color w:val="000000"/>
          <w:sz w:val="28"/>
          <w:szCs w:val="28"/>
        </w:rPr>
        <w:t xml:space="preserve">3. Оценка бюджетной, социальной эффективности по предоставленным налоговым льготам </w:t>
      </w:r>
    </w:p>
    <w:p>
      <w:pPr>
        <w:pStyle w:val="Style24"/>
        <w:spacing w:before="0" w:after="0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979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850"/>
        <w:gridCol w:w="851"/>
        <w:gridCol w:w="992"/>
        <w:gridCol w:w="992"/>
        <w:gridCol w:w="851"/>
        <w:gridCol w:w="1984"/>
        <w:gridCol w:w="1002"/>
      </w:tblGrid>
      <w:tr>
        <w:trPr/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Вид разрешенного использования земельных участков/ категория получателей льгот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Налогоплательщик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Сумма налогов, уплаченная в бюджет муниципального образования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Прирост (+) / снижение (-),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Потери бюджета муниципального образования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Коэффициент эффективности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эффективности</w:t>
            </w:r>
          </w:p>
        </w:tc>
      </w:tr>
      <w:tr>
        <w:trPr/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воспользовались 3 человека из категории льготников. Кадастровая стоимость земельных участков, находящихся в их собственности, составила        679,7 тыс. рублей. Сумма потерь бюджета муниципального образования составила 1,8 тыс.рублей.</w:t>
            </w:r>
          </w:p>
          <w:p>
            <w:pPr>
              <w:pStyle w:val="Normal"/>
              <w:ind w:hanging="1"/>
              <w:jc w:val="both"/>
              <w:rPr/>
            </w:pPr>
            <w:r>
              <w:rPr>
                <w:sz w:val="14"/>
                <w:szCs w:val="14"/>
              </w:rPr>
              <w:t>Учитывая, что 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  <w:p>
            <w:pPr>
              <w:pStyle w:val="Normal"/>
              <w:ind w:hang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</w:tbl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Краснооктябрьское (сельское поселение) Гусь-Хрустального района Владимирской области  сложились в сумме 1,8 тыс. рублей или  0,3% от поступления земельного налога в 2019 году и  0,1% от общего объема налоговых доходов.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оценки социальная эффективность предоставляемых налоговых льгот признана положительной, бюджетная эффективность - не рассматривалась. Предоставляемые льготы по местным налогам признаются эффективными. 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 ветеранам и инвалидам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spacing w:lineRule="auto" w:line="276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Normal"/>
        <w:autoSpaceDE w:val="false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ind w:firstLine="540"/>
        <w:rPr/>
      </w:pPr>
      <w:r>
        <w:rPr>
          <w:color w:val="000000"/>
          <w:sz w:val="28"/>
          <w:szCs w:val="28"/>
        </w:rPr>
        <w:t>начальник финансового управления                                          Л.В. Ахмерова</w:t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  <w:rPr/>
    </w:lvl>
    <w:lvl w:ilvl="1">
      <w:start w:val="1"/>
      <w:numFmt w:val="decimal"/>
      <w:lvlText w:val="%1.%2."/>
      <w:lvlJc w:val="left"/>
      <w:pPr>
        <w:ind w:left="1647" w:hanging="720"/>
      </w:pPr>
      <w:rPr/>
    </w:lvl>
    <w:lvl w:ilvl="2">
      <w:start w:val="1"/>
      <w:numFmt w:val="decimal"/>
      <w:lvlText w:val="%1.%2.%3."/>
      <w:lvlJc w:val="left"/>
      <w:pPr>
        <w:ind w:left="2007" w:hanging="720"/>
      </w:pPr>
      <w:rPr/>
    </w:lvl>
    <w:lvl w:ilvl="3">
      <w:start w:val="1"/>
      <w:numFmt w:val="decimal"/>
      <w:lvlText w:val="%1.%2.%3.%4."/>
      <w:lvlJc w:val="left"/>
      <w:pPr>
        <w:ind w:left="2727" w:hanging="1080"/>
      </w:pPr>
      <w:rPr/>
    </w:lvl>
    <w:lvl w:ilvl="4">
      <w:start w:val="1"/>
      <w:numFmt w:val="decimal"/>
      <w:lvlText w:val="%1.%2.%3.%4.%5."/>
      <w:lvlJc w:val="left"/>
      <w:pPr>
        <w:ind w:left="3087" w:hanging="1080"/>
      </w:pPr>
      <w:rPr/>
    </w:lvl>
    <w:lvl w:ilvl="5">
      <w:start w:val="1"/>
      <w:numFmt w:val="decimal"/>
      <w:lvlText w:val="%1.%2.%3.%4.%5.%6."/>
      <w:lvlJc w:val="left"/>
      <w:pPr>
        <w:ind w:left="3807" w:hanging="1440"/>
      </w:pPr>
      <w:rPr/>
    </w:lvl>
    <w:lvl w:ilvl="6">
      <w:start w:val="1"/>
      <w:numFmt w:val="decimal"/>
      <w:lvlText w:val="%1.%2.%3.%4.%5.%6.%7."/>
      <w:lvlJc w:val="left"/>
      <w:pPr>
        <w:ind w:left="4527" w:hanging="1800"/>
      </w:pPr>
      <w:rPr/>
    </w:lvl>
    <w:lvl w:ilvl="7">
      <w:start w:val="1"/>
      <w:numFmt w:val="decimal"/>
      <w:lvlText w:val="%1.%2.%3.%4.%5.%6.%7.%8."/>
      <w:lvlJc w:val="left"/>
      <w:pPr>
        <w:ind w:left="4887" w:hanging="1800"/>
      </w:pPr>
      <w:rPr/>
    </w:lvl>
    <w:lvl w:ilvl="8">
      <w:start w:val="1"/>
      <w:numFmt w:val="decimal"/>
      <w:lvlText w:val="%1.%2.%3.%4.%5.%6.%7.%8.%9."/>
      <w:lvlJc w:val="left"/>
      <w:pPr>
        <w:ind w:left="5607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character" w:styleId="Appleconvertedspace">
    <w:name w:val="apple-converted-space"/>
    <w:basedOn w:val="Style14"/>
    <w:qFormat/>
    <w:rPr/>
  </w:style>
  <w:style w:type="character" w:styleId="Style16">
    <w:name w:val="Верхний колонтитул Знак"/>
    <w:basedOn w:val="Style14"/>
    <w:qFormat/>
    <w:rPr>
      <w:sz w:val="24"/>
      <w:szCs w:val="24"/>
    </w:rPr>
  </w:style>
  <w:style w:type="character" w:styleId="Style17">
    <w:name w:val="Нижний колонтитул Знак"/>
    <w:basedOn w:val="Style14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36"/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2573</TotalTime>
  <Application>LibreOffice/6.4.0.3$Windows_x86 LibreOffice_project/b0a288ab3d2d4774cb44b62f04d5d28733ac6df8</Application>
  <Pages>4</Pages>
  <Words>880</Words>
  <Characters>6530</Characters>
  <CharactersWithSpaces>7412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2013-12-17T08:53:00Z</dcterms:created>
  <dc:creator>drj</dc:creator>
  <dc:description/>
  <cp:keywords/>
  <dc:language>ru-RU</dc:language>
  <cp:lastModifiedBy>Otd-Dox</cp:lastModifiedBy>
  <cp:lastPrinted>2019-02-22T10:44:00Z</cp:lastPrinted>
  <dcterms:modified xsi:type="dcterms:W3CDTF">2020-02-25T09:22:00Z</dcterms:modified>
  <cp:revision>152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